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B695A" w14:textId="77777777" w:rsidR="00D52E58" w:rsidRPr="00A73F5B" w:rsidRDefault="00CB087A">
      <w:pPr>
        <w:rPr>
          <w:rFonts w:ascii="Arial" w:hAnsi="Arial" w:cs="Arial"/>
          <w:b/>
        </w:rPr>
      </w:pPr>
      <w:r w:rsidRPr="00A73F5B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658E0D51" wp14:editId="363DEB7C">
            <wp:simplePos x="0" y="0"/>
            <wp:positionH relativeFrom="column">
              <wp:posOffset>6013450</wp:posOffset>
            </wp:positionH>
            <wp:positionV relativeFrom="paragraph">
              <wp:posOffset>146050</wp:posOffset>
            </wp:positionV>
            <wp:extent cx="2155825" cy="12128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825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C68" w:rsidRPr="00A73F5B">
        <w:rPr>
          <w:rFonts w:ascii="Arial" w:hAnsi="Arial" w:cs="Arial"/>
          <w:b/>
        </w:rPr>
        <w:t>Session Wo</w:t>
      </w:r>
      <w:r w:rsidR="00D829D2" w:rsidRPr="00A73F5B">
        <w:rPr>
          <w:rFonts w:ascii="Arial" w:hAnsi="Arial" w:cs="Arial"/>
          <w:b/>
        </w:rPr>
        <w:t>rksheet</w:t>
      </w:r>
    </w:p>
    <w:p w14:paraId="73D5ACC2" w14:textId="77777777" w:rsidR="008A6D00" w:rsidRPr="00A73F5B" w:rsidRDefault="008A6D00" w:rsidP="00134C68">
      <w:pPr>
        <w:tabs>
          <w:tab w:val="left" w:pos="4320"/>
        </w:tabs>
        <w:rPr>
          <w:rFonts w:ascii="Arial" w:hAnsi="Arial" w:cs="Arial"/>
          <w:b/>
          <w:noProof/>
        </w:rPr>
      </w:pPr>
      <w:bookmarkStart w:id="0" w:name="_Hlk23280253"/>
      <w:bookmarkEnd w:id="0"/>
      <w:r w:rsidRPr="00A73F5B">
        <w:rPr>
          <w:rFonts w:ascii="Arial" w:hAnsi="Arial" w:cs="Arial"/>
          <w:b/>
          <w:noProof/>
        </w:rPr>
        <w:t>Sessions:</w:t>
      </w:r>
      <w:r w:rsidR="00CB087A" w:rsidRPr="00A73F5B">
        <w:rPr>
          <w:rFonts w:ascii="Arial" w:hAnsi="Arial" w:cs="Arial"/>
          <w:b/>
          <w:noProof/>
        </w:rPr>
        <w:t xml:space="preserve"> </w:t>
      </w:r>
    </w:p>
    <w:p w14:paraId="67519379" w14:textId="77777777" w:rsidR="00D52E58" w:rsidRPr="00A73F5B" w:rsidRDefault="00134C68" w:rsidP="00134C68">
      <w:pPr>
        <w:tabs>
          <w:tab w:val="left" w:pos="4320"/>
        </w:tabs>
        <w:rPr>
          <w:rFonts w:ascii="Arial" w:hAnsi="Arial" w:cs="Arial"/>
        </w:rPr>
      </w:pPr>
      <w:r w:rsidRPr="00A73F5B">
        <w:rPr>
          <w:rFonts w:ascii="Arial" w:hAnsi="Arial" w:cs="Arial"/>
          <w:noProof/>
        </w:rPr>
        <w:t>I plan to attend the following sessions to strengthen my professional development. (</w:t>
      </w:r>
      <w:r w:rsidR="00A40CFC" w:rsidRPr="00A73F5B">
        <w:rPr>
          <w:rFonts w:ascii="Arial" w:hAnsi="Arial" w:cs="Arial"/>
          <w:noProof/>
        </w:rPr>
        <w:t>Mark</w:t>
      </w:r>
      <w:r w:rsidRPr="00A73F5B">
        <w:rPr>
          <w:rFonts w:ascii="Arial" w:hAnsi="Arial" w:cs="Arial"/>
          <w:noProof/>
        </w:rPr>
        <w:t xml:space="preserve"> the sessions you plan to attend as well as the learning outcomes and how they will benefit you, your team</w:t>
      </w:r>
      <w:r w:rsidR="0084102E" w:rsidRPr="00A73F5B">
        <w:rPr>
          <w:rFonts w:ascii="Arial" w:hAnsi="Arial" w:cs="Arial"/>
          <w:noProof/>
        </w:rPr>
        <w:t>,</w:t>
      </w:r>
      <w:r w:rsidRPr="00A73F5B">
        <w:rPr>
          <w:rFonts w:ascii="Arial" w:hAnsi="Arial" w:cs="Arial"/>
          <w:noProof/>
        </w:rPr>
        <w:t xml:space="preserve"> and your organization.</w:t>
      </w:r>
      <w:r w:rsidR="00A40CFC" w:rsidRPr="00A73F5B">
        <w:rPr>
          <w:rFonts w:ascii="Arial" w:hAnsi="Arial" w:cs="Arial"/>
          <w:noProof/>
        </w:rPr>
        <w:t xml:space="preserve"> Please refer to the schedule of events as some sessions and round tables run concurrently</w:t>
      </w:r>
      <w:r w:rsidRPr="00A73F5B">
        <w:rPr>
          <w:rFonts w:ascii="Arial" w:hAnsi="Arial" w:cs="Arial"/>
          <w:noProof/>
        </w:rPr>
        <w:t>)</w:t>
      </w:r>
      <w:r w:rsidR="00A40CFC" w:rsidRPr="00A73F5B">
        <w:rPr>
          <w:rFonts w:ascii="Arial" w:hAnsi="Arial" w:cs="Arial"/>
          <w:noProof/>
        </w:rPr>
        <w:t>.</w:t>
      </w:r>
      <w:r w:rsidRPr="00A73F5B">
        <w:rPr>
          <w:rFonts w:ascii="Arial" w:hAnsi="Arial" w:cs="Arial"/>
          <w:noProof/>
        </w:rPr>
        <w:t xml:space="preserve"> </w:t>
      </w:r>
    </w:p>
    <w:tbl>
      <w:tblPr>
        <w:tblStyle w:val="TableGrid"/>
        <w:tblW w:w="12950" w:type="dxa"/>
        <w:tblLook w:val="00A0" w:firstRow="1" w:lastRow="0" w:firstColumn="1" w:lastColumn="0" w:noHBand="0" w:noVBand="0"/>
      </w:tblPr>
      <w:tblGrid>
        <w:gridCol w:w="1081"/>
        <w:gridCol w:w="3658"/>
        <w:gridCol w:w="2638"/>
        <w:gridCol w:w="5573"/>
      </w:tblGrid>
      <w:tr w:rsidR="00626D4D" w:rsidRPr="00A73F5B" w14:paraId="311A6579" w14:textId="77777777" w:rsidTr="005A485A">
        <w:tc>
          <w:tcPr>
            <w:tcW w:w="1081" w:type="dxa"/>
          </w:tcPr>
          <w:p w14:paraId="3F9372AE" w14:textId="77777777" w:rsidR="00626D4D" w:rsidRPr="00A73F5B" w:rsidRDefault="00626D4D" w:rsidP="00626D4D">
            <w:pPr>
              <w:jc w:val="center"/>
              <w:rPr>
                <w:rFonts w:ascii="Arial" w:hAnsi="Arial" w:cs="Arial"/>
                <w:b/>
              </w:rPr>
            </w:pPr>
            <w:r w:rsidRPr="00A73F5B">
              <w:rPr>
                <w:rFonts w:ascii="Arial" w:hAnsi="Arial" w:cs="Arial"/>
                <w:b/>
              </w:rPr>
              <w:t xml:space="preserve">Plan </w:t>
            </w:r>
            <w:proofErr w:type="gramStart"/>
            <w:r w:rsidRPr="00A73F5B">
              <w:rPr>
                <w:rFonts w:ascii="Arial" w:hAnsi="Arial" w:cs="Arial"/>
                <w:b/>
              </w:rPr>
              <w:t>To</w:t>
            </w:r>
            <w:proofErr w:type="gramEnd"/>
            <w:r w:rsidRPr="00A73F5B">
              <w:rPr>
                <w:rFonts w:ascii="Arial" w:hAnsi="Arial" w:cs="Arial"/>
                <w:b/>
              </w:rPr>
              <w:t xml:space="preserve"> Attend</w:t>
            </w:r>
          </w:p>
        </w:tc>
        <w:tc>
          <w:tcPr>
            <w:tcW w:w="3658" w:type="dxa"/>
          </w:tcPr>
          <w:p w14:paraId="16A3625E" w14:textId="77777777" w:rsidR="00626D4D" w:rsidRPr="00A73F5B" w:rsidRDefault="00626D4D" w:rsidP="00626D4D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A73F5B">
              <w:rPr>
                <w:rFonts w:ascii="Arial" w:hAnsi="Arial" w:cs="Arial"/>
                <w:b/>
              </w:rPr>
              <w:t>Session Title</w:t>
            </w:r>
          </w:p>
        </w:tc>
        <w:tc>
          <w:tcPr>
            <w:tcW w:w="2638" w:type="dxa"/>
          </w:tcPr>
          <w:p w14:paraId="15016BDF" w14:textId="77777777" w:rsidR="00626D4D" w:rsidRPr="00A73F5B" w:rsidRDefault="00626D4D" w:rsidP="00626D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Speaker</w:t>
            </w:r>
          </w:p>
        </w:tc>
        <w:tc>
          <w:tcPr>
            <w:tcW w:w="5573" w:type="dxa"/>
          </w:tcPr>
          <w:p w14:paraId="7293F491" w14:textId="77777777" w:rsidR="00626D4D" w:rsidRPr="00A73F5B" w:rsidRDefault="00626D4D" w:rsidP="00626D4D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A73F5B">
              <w:rPr>
                <w:rFonts w:ascii="Arial" w:hAnsi="Arial" w:cs="Arial"/>
                <w:b/>
              </w:rPr>
              <w:t>Benefits and Learning Outcomes</w:t>
            </w:r>
          </w:p>
        </w:tc>
      </w:tr>
      <w:tr w:rsidR="00626D4D" w:rsidRPr="00A73F5B" w14:paraId="72AB6EC8" w14:textId="77777777" w:rsidTr="00F039A9">
        <w:tc>
          <w:tcPr>
            <w:tcW w:w="12950" w:type="dxa"/>
            <w:gridSpan w:val="4"/>
            <w:shd w:val="clear" w:color="auto" w:fill="F79646" w:themeFill="accent6"/>
          </w:tcPr>
          <w:p w14:paraId="5CB3A41A" w14:textId="77777777" w:rsidR="00626D4D" w:rsidRPr="00A73F5B" w:rsidRDefault="00626D4D" w:rsidP="00626D4D">
            <w:pPr>
              <w:jc w:val="center"/>
              <w:rPr>
                <w:rFonts w:ascii="Arial" w:hAnsi="Arial" w:cs="Arial"/>
              </w:rPr>
            </w:pPr>
            <w:r w:rsidRPr="00A73F5B">
              <w:rPr>
                <w:rFonts w:ascii="Arial" w:hAnsi="Arial" w:cs="Arial"/>
                <w:b/>
              </w:rPr>
              <w:t>Track 1: Integrated Talent Management, Managing Learning Programs, Knowledge Management</w:t>
            </w:r>
          </w:p>
        </w:tc>
      </w:tr>
      <w:tr w:rsidR="00626D4D" w:rsidRPr="00A73F5B" w14:paraId="7FF942B9" w14:textId="77777777" w:rsidTr="005A485A">
        <w:tc>
          <w:tcPr>
            <w:tcW w:w="1081" w:type="dxa"/>
          </w:tcPr>
          <w:p w14:paraId="35C5D9BB" w14:textId="77777777" w:rsidR="00626D4D" w:rsidRPr="00A73F5B" w:rsidRDefault="00626D4D" w:rsidP="008A6D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58" w:type="dxa"/>
          </w:tcPr>
          <w:p w14:paraId="023EA425" w14:textId="7B792292" w:rsidR="00626D4D" w:rsidRPr="003B030A" w:rsidRDefault="00582D35" w:rsidP="00A73F5B">
            <w:pPr>
              <w:rPr>
                <w:rFonts w:ascii="Arial" w:hAnsi="Arial" w:cs="Arial"/>
                <w:sz w:val="22"/>
                <w:szCs w:val="22"/>
              </w:rPr>
            </w:pPr>
            <w:r w:rsidRPr="003B030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Power Through 2021: Stay Engaged, Productive and Purposeful</w:t>
            </w:r>
          </w:p>
        </w:tc>
        <w:tc>
          <w:tcPr>
            <w:tcW w:w="2638" w:type="dxa"/>
          </w:tcPr>
          <w:p w14:paraId="53C2DD14" w14:textId="77777777" w:rsidR="00626D4D" w:rsidRDefault="00582D35" w:rsidP="00C233CB">
            <w:pPr>
              <w:rPr>
                <w:rFonts w:ascii="Arial" w:hAnsi="Arial" w:cs="Arial"/>
                <w:sz w:val="22"/>
                <w:szCs w:val="22"/>
              </w:rPr>
            </w:pPr>
            <w:r w:rsidRPr="003B030A">
              <w:rPr>
                <w:rFonts w:ascii="Arial" w:hAnsi="Arial" w:cs="Arial"/>
                <w:sz w:val="22"/>
                <w:szCs w:val="22"/>
              </w:rPr>
              <w:t>Denise Forney</w:t>
            </w:r>
          </w:p>
          <w:p w14:paraId="0130D69D" w14:textId="1699C3DF" w:rsidR="00CC323D" w:rsidRPr="00CC323D" w:rsidRDefault="00CC323D" w:rsidP="00C233CB">
            <w:pPr>
              <w:rPr>
                <w:rFonts w:ascii="Arial" w:hAnsi="Arial" w:cs="Arial"/>
                <w:sz w:val="22"/>
                <w:szCs w:val="22"/>
              </w:rPr>
            </w:pPr>
            <w:r w:rsidRPr="00CC32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MidAmerican Energy</w:t>
            </w:r>
          </w:p>
        </w:tc>
        <w:tc>
          <w:tcPr>
            <w:tcW w:w="5573" w:type="dxa"/>
          </w:tcPr>
          <w:p w14:paraId="49A5FD75" w14:textId="77777777" w:rsidR="00626D4D" w:rsidRPr="003B030A" w:rsidRDefault="00626D4D" w:rsidP="008A6D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D4D" w:rsidRPr="00A73F5B" w14:paraId="687BFEB0" w14:textId="77777777" w:rsidTr="005A485A">
        <w:tc>
          <w:tcPr>
            <w:tcW w:w="1081" w:type="dxa"/>
          </w:tcPr>
          <w:p w14:paraId="1881BAFB" w14:textId="77777777" w:rsidR="00626D4D" w:rsidRPr="00A73F5B" w:rsidRDefault="00626D4D" w:rsidP="008A6D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58" w:type="dxa"/>
          </w:tcPr>
          <w:p w14:paraId="6774C1D3" w14:textId="77777777" w:rsidR="00582D35" w:rsidRPr="003B030A" w:rsidRDefault="00582D35" w:rsidP="00582D35">
            <w:pPr>
              <w:rPr>
                <w:rFonts w:ascii="Arial" w:hAnsi="Arial" w:cs="Arial"/>
                <w:sz w:val="22"/>
                <w:szCs w:val="22"/>
              </w:rPr>
            </w:pPr>
            <w:r w:rsidRPr="003B030A">
              <w:rPr>
                <w:rFonts w:ascii="Arial" w:hAnsi="Arial" w:cs="Arial"/>
                <w:sz w:val="22"/>
                <w:szCs w:val="22"/>
              </w:rPr>
              <w:t>Designing the Future of Work Through Analytics</w:t>
            </w:r>
          </w:p>
          <w:p w14:paraId="43EEE7C1" w14:textId="5E43BB49" w:rsidR="00626D4D" w:rsidRPr="003B030A" w:rsidRDefault="00626D4D" w:rsidP="00A73F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8" w:type="dxa"/>
          </w:tcPr>
          <w:p w14:paraId="2A36BE9C" w14:textId="77777777" w:rsidR="00582D35" w:rsidRPr="003B030A" w:rsidRDefault="00582D35" w:rsidP="00582D35">
            <w:pPr>
              <w:rPr>
                <w:rFonts w:ascii="Arial" w:hAnsi="Arial" w:cs="Arial"/>
                <w:sz w:val="22"/>
                <w:szCs w:val="22"/>
              </w:rPr>
            </w:pPr>
            <w:r w:rsidRPr="003B030A">
              <w:rPr>
                <w:rFonts w:ascii="Arial" w:hAnsi="Arial" w:cs="Arial"/>
                <w:sz w:val="22"/>
                <w:szCs w:val="22"/>
              </w:rPr>
              <w:t>Jeff Kappen and Stephen Smith</w:t>
            </w:r>
          </w:p>
          <w:p w14:paraId="3F3DB646" w14:textId="73B2B781" w:rsidR="00626D4D" w:rsidRPr="003B030A" w:rsidRDefault="00626D4D" w:rsidP="00C233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3" w:type="dxa"/>
          </w:tcPr>
          <w:p w14:paraId="3D866921" w14:textId="77777777" w:rsidR="00626D4D" w:rsidRPr="003B030A" w:rsidRDefault="00626D4D" w:rsidP="008A6D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D4D" w:rsidRPr="00A73F5B" w14:paraId="1A554A02" w14:textId="77777777" w:rsidTr="005A485A">
        <w:tc>
          <w:tcPr>
            <w:tcW w:w="1081" w:type="dxa"/>
          </w:tcPr>
          <w:p w14:paraId="77E68EC2" w14:textId="77777777" w:rsidR="00626D4D" w:rsidRPr="00A73F5B" w:rsidRDefault="00626D4D" w:rsidP="008A6D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58" w:type="dxa"/>
          </w:tcPr>
          <w:p w14:paraId="62FFAD19" w14:textId="17A3DA48" w:rsidR="00626D4D" w:rsidRPr="003B030A" w:rsidRDefault="00582D35" w:rsidP="00A73F5B">
            <w:pPr>
              <w:rPr>
                <w:rFonts w:ascii="Arial" w:hAnsi="Arial" w:cs="Arial"/>
                <w:sz w:val="22"/>
                <w:szCs w:val="22"/>
              </w:rPr>
            </w:pPr>
            <w:r w:rsidRPr="003B030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Workplace Trends 2021:  What’s the New Normal?</w:t>
            </w:r>
          </w:p>
        </w:tc>
        <w:tc>
          <w:tcPr>
            <w:tcW w:w="2638" w:type="dxa"/>
          </w:tcPr>
          <w:p w14:paraId="66874CD3" w14:textId="77777777" w:rsidR="00420689" w:rsidRDefault="00582D35" w:rsidP="00C233CB">
            <w:pPr>
              <w:rPr>
                <w:rFonts w:ascii="Arial" w:hAnsi="Arial" w:cs="Arial"/>
                <w:sz w:val="22"/>
                <w:szCs w:val="22"/>
              </w:rPr>
            </w:pPr>
            <w:r w:rsidRPr="003B030A">
              <w:rPr>
                <w:rFonts w:ascii="Arial" w:hAnsi="Arial" w:cs="Arial"/>
                <w:sz w:val="22"/>
                <w:szCs w:val="22"/>
              </w:rPr>
              <w:t>Todd McDonald</w:t>
            </w:r>
          </w:p>
          <w:p w14:paraId="7A2A9AC7" w14:textId="2F9DE29A" w:rsidR="00FF774D" w:rsidRPr="003B030A" w:rsidRDefault="00FF774D" w:rsidP="00C233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ATW Training Solutions </w:t>
            </w:r>
          </w:p>
        </w:tc>
        <w:tc>
          <w:tcPr>
            <w:tcW w:w="5573" w:type="dxa"/>
          </w:tcPr>
          <w:p w14:paraId="4F80C6BE" w14:textId="77777777" w:rsidR="00626D4D" w:rsidRPr="003B030A" w:rsidRDefault="00626D4D" w:rsidP="008A6D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D4D" w:rsidRPr="00A73F5B" w14:paraId="798E80AB" w14:textId="77777777" w:rsidTr="005A485A">
        <w:tc>
          <w:tcPr>
            <w:tcW w:w="1081" w:type="dxa"/>
          </w:tcPr>
          <w:p w14:paraId="5504E02E" w14:textId="77777777" w:rsidR="00626D4D" w:rsidRPr="00A73F5B" w:rsidRDefault="00626D4D" w:rsidP="008A6D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58" w:type="dxa"/>
          </w:tcPr>
          <w:p w14:paraId="37191A0E" w14:textId="01DB1405" w:rsidR="00626D4D" w:rsidRPr="003B030A" w:rsidRDefault="00582D35" w:rsidP="00A73F5B">
            <w:pPr>
              <w:rPr>
                <w:rFonts w:ascii="Arial" w:hAnsi="Arial" w:cs="Arial"/>
                <w:sz w:val="22"/>
                <w:szCs w:val="22"/>
              </w:rPr>
            </w:pPr>
            <w:r w:rsidRPr="003B030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Corp Comm Collab: Building a Responsive Learner Engagement Strategy</w:t>
            </w:r>
          </w:p>
        </w:tc>
        <w:tc>
          <w:tcPr>
            <w:tcW w:w="2638" w:type="dxa"/>
          </w:tcPr>
          <w:p w14:paraId="5D7B7896" w14:textId="77777777" w:rsidR="00420689" w:rsidRDefault="00582D35" w:rsidP="00C233CB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3B030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Joey Spivey and Kathleen Gardiner</w:t>
            </w:r>
          </w:p>
          <w:p w14:paraId="57CDD124" w14:textId="7A7E73D3" w:rsidR="00FF774D" w:rsidRPr="003B030A" w:rsidRDefault="00FF774D" w:rsidP="00C233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SHAZAM</w:t>
            </w:r>
          </w:p>
        </w:tc>
        <w:tc>
          <w:tcPr>
            <w:tcW w:w="5573" w:type="dxa"/>
          </w:tcPr>
          <w:p w14:paraId="0DDD3031" w14:textId="77777777" w:rsidR="00626D4D" w:rsidRPr="003B030A" w:rsidRDefault="00626D4D" w:rsidP="008A6D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D4D" w:rsidRPr="00A73F5B" w14:paraId="260998BD" w14:textId="77777777" w:rsidTr="00DB2FD6">
        <w:tc>
          <w:tcPr>
            <w:tcW w:w="12950" w:type="dxa"/>
            <w:gridSpan w:val="4"/>
            <w:shd w:val="clear" w:color="auto" w:fill="F79646" w:themeFill="accent6"/>
          </w:tcPr>
          <w:p w14:paraId="010132E1" w14:textId="77777777" w:rsidR="00626D4D" w:rsidRPr="00A73F5B" w:rsidRDefault="00626D4D" w:rsidP="00626D4D">
            <w:pPr>
              <w:jc w:val="center"/>
              <w:rPr>
                <w:rFonts w:ascii="Arial" w:hAnsi="Arial" w:cs="Arial"/>
              </w:rPr>
            </w:pPr>
            <w:r w:rsidRPr="00A73F5B">
              <w:rPr>
                <w:rFonts w:ascii="Arial" w:hAnsi="Arial" w:cs="Arial"/>
                <w:b/>
              </w:rPr>
              <w:t>Track 2: Performance Improvement, Change Management, Coaching</w:t>
            </w:r>
          </w:p>
        </w:tc>
      </w:tr>
      <w:tr w:rsidR="00626D4D" w:rsidRPr="00A73F5B" w14:paraId="32B960B3" w14:textId="77777777" w:rsidTr="005A485A">
        <w:tc>
          <w:tcPr>
            <w:tcW w:w="1081" w:type="dxa"/>
          </w:tcPr>
          <w:p w14:paraId="59354A93" w14:textId="77777777" w:rsidR="00626D4D" w:rsidRPr="00A73F5B" w:rsidRDefault="00626D4D" w:rsidP="008A6D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58" w:type="dxa"/>
          </w:tcPr>
          <w:p w14:paraId="6C7ACC6B" w14:textId="3B7F59AD" w:rsidR="00626D4D" w:rsidRPr="003B030A" w:rsidRDefault="00582D35" w:rsidP="000D737C">
            <w:pPr>
              <w:rPr>
                <w:rFonts w:ascii="Arial" w:hAnsi="Arial" w:cs="Arial"/>
                <w:sz w:val="22"/>
                <w:szCs w:val="22"/>
              </w:rPr>
            </w:pPr>
            <w:r w:rsidRPr="003B030A">
              <w:rPr>
                <w:rFonts w:ascii="Arial" w:hAnsi="Arial" w:cs="Arial"/>
                <w:sz w:val="22"/>
                <w:szCs w:val="22"/>
              </w:rPr>
              <w:t>Enabling Change with Grace, Speed, and Value</w:t>
            </w:r>
          </w:p>
        </w:tc>
        <w:tc>
          <w:tcPr>
            <w:tcW w:w="2638" w:type="dxa"/>
          </w:tcPr>
          <w:p w14:paraId="35F7027B" w14:textId="77777777" w:rsidR="00420689" w:rsidRDefault="00582D35" w:rsidP="00C233CB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3B030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Sinikka</w:t>
            </w:r>
            <w:proofErr w:type="spellEnd"/>
            <w:r w:rsidRPr="003B030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Waugh</w:t>
            </w:r>
          </w:p>
          <w:p w14:paraId="4A4EDA60" w14:textId="602709A4" w:rsidR="00FF774D" w:rsidRPr="00FF774D" w:rsidRDefault="00FF774D" w:rsidP="00C233CB">
            <w:pPr>
              <w:rPr>
                <w:rFonts w:ascii="Arial" w:hAnsi="Arial" w:cs="Arial"/>
                <w:sz w:val="22"/>
                <w:szCs w:val="22"/>
              </w:rPr>
            </w:pPr>
            <w:r w:rsidRPr="00FF774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Your Clear Next Step, LLC</w:t>
            </w:r>
          </w:p>
        </w:tc>
        <w:tc>
          <w:tcPr>
            <w:tcW w:w="5573" w:type="dxa"/>
          </w:tcPr>
          <w:p w14:paraId="4E1C6772" w14:textId="77777777" w:rsidR="00626D4D" w:rsidRPr="00A73F5B" w:rsidRDefault="00626D4D" w:rsidP="008A6D00">
            <w:pPr>
              <w:jc w:val="both"/>
              <w:rPr>
                <w:rFonts w:ascii="Arial" w:hAnsi="Arial" w:cs="Arial"/>
              </w:rPr>
            </w:pPr>
          </w:p>
        </w:tc>
      </w:tr>
      <w:tr w:rsidR="00626D4D" w:rsidRPr="00A73F5B" w14:paraId="41FF35E0" w14:textId="77777777" w:rsidTr="005A485A">
        <w:tc>
          <w:tcPr>
            <w:tcW w:w="1081" w:type="dxa"/>
          </w:tcPr>
          <w:p w14:paraId="0CBF762B" w14:textId="77777777" w:rsidR="00626D4D" w:rsidRPr="00A73F5B" w:rsidRDefault="00626D4D" w:rsidP="008A6D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58" w:type="dxa"/>
          </w:tcPr>
          <w:p w14:paraId="2824F982" w14:textId="7252BB64" w:rsidR="00626D4D" w:rsidRPr="003B030A" w:rsidRDefault="00582D35" w:rsidP="000D737C">
            <w:pPr>
              <w:rPr>
                <w:rFonts w:ascii="Arial" w:hAnsi="Arial" w:cs="Arial"/>
                <w:sz w:val="22"/>
                <w:szCs w:val="22"/>
              </w:rPr>
            </w:pPr>
            <w:r w:rsidRPr="003B030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Leveling Up: Take them from Basic to Elite</w:t>
            </w:r>
          </w:p>
        </w:tc>
        <w:tc>
          <w:tcPr>
            <w:tcW w:w="2638" w:type="dxa"/>
          </w:tcPr>
          <w:p w14:paraId="579F7E7F" w14:textId="0DC5C5D8" w:rsidR="00420689" w:rsidRPr="00FF774D" w:rsidRDefault="00582D35" w:rsidP="00C233CB">
            <w:pPr>
              <w:rPr>
                <w:rFonts w:ascii="Arial" w:hAnsi="Arial" w:cs="Arial"/>
                <w:sz w:val="22"/>
                <w:szCs w:val="22"/>
              </w:rPr>
            </w:pPr>
            <w:r w:rsidRPr="00FF774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Kelsi </w:t>
            </w:r>
            <w:proofErr w:type="spellStart"/>
            <w:r w:rsidRPr="00FF774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Bouray</w:t>
            </w:r>
            <w:proofErr w:type="spellEnd"/>
            <w:r w:rsidR="00FF774D" w:rsidRPr="00FF774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br/>
            </w:r>
            <w:r w:rsidR="00FF774D" w:rsidRPr="00FF774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Brown’s Shoe Fit Company</w:t>
            </w:r>
          </w:p>
        </w:tc>
        <w:tc>
          <w:tcPr>
            <w:tcW w:w="5573" w:type="dxa"/>
          </w:tcPr>
          <w:p w14:paraId="1CC4B923" w14:textId="77777777" w:rsidR="00626D4D" w:rsidRPr="00A73F5B" w:rsidRDefault="00626D4D" w:rsidP="008A6D00">
            <w:pPr>
              <w:jc w:val="both"/>
              <w:rPr>
                <w:rFonts w:ascii="Arial" w:hAnsi="Arial" w:cs="Arial"/>
              </w:rPr>
            </w:pPr>
          </w:p>
        </w:tc>
      </w:tr>
      <w:tr w:rsidR="00626D4D" w:rsidRPr="00A73F5B" w14:paraId="153A1A83" w14:textId="77777777" w:rsidTr="005A485A">
        <w:tc>
          <w:tcPr>
            <w:tcW w:w="1081" w:type="dxa"/>
          </w:tcPr>
          <w:p w14:paraId="76C2BB1F" w14:textId="77777777" w:rsidR="00626D4D" w:rsidRPr="00A73F5B" w:rsidRDefault="00626D4D" w:rsidP="008A6D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58" w:type="dxa"/>
          </w:tcPr>
          <w:p w14:paraId="3CFC4B6C" w14:textId="77777777" w:rsidR="00582D35" w:rsidRPr="003B030A" w:rsidRDefault="00582D35" w:rsidP="00582D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030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Diversity, Equity, Inclusion and Allyship</w:t>
            </w:r>
          </w:p>
          <w:p w14:paraId="279191EB" w14:textId="7EE89DD7" w:rsidR="00626D4D" w:rsidRPr="003B030A" w:rsidRDefault="00626D4D" w:rsidP="000D73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8" w:type="dxa"/>
          </w:tcPr>
          <w:p w14:paraId="7908A998" w14:textId="77777777" w:rsidR="00420689" w:rsidRDefault="00582D35" w:rsidP="00C233CB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3B030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Lonnie </w:t>
            </w:r>
            <w:proofErr w:type="spellStart"/>
            <w:r w:rsidRPr="003B030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Dafney</w:t>
            </w:r>
            <w:proofErr w:type="spellEnd"/>
          </w:p>
          <w:p w14:paraId="542FC8E5" w14:textId="03F9340C" w:rsidR="00FF774D" w:rsidRPr="003B030A" w:rsidRDefault="00FF774D" w:rsidP="00C233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EMC Insurance Companies</w:t>
            </w:r>
          </w:p>
        </w:tc>
        <w:tc>
          <w:tcPr>
            <w:tcW w:w="5573" w:type="dxa"/>
          </w:tcPr>
          <w:p w14:paraId="483ADCEC" w14:textId="77777777" w:rsidR="00626D4D" w:rsidRPr="00A73F5B" w:rsidRDefault="00626D4D" w:rsidP="008A6D00">
            <w:pPr>
              <w:jc w:val="both"/>
              <w:rPr>
                <w:rFonts w:ascii="Arial" w:hAnsi="Arial" w:cs="Arial"/>
              </w:rPr>
            </w:pPr>
          </w:p>
        </w:tc>
      </w:tr>
      <w:tr w:rsidR="00626D4D" w:rsidRPr="00A73F5B" w14:paraId="4C5AA151" w14:textId="77777777" w:rsidTr="00216244">
        <w:tc>
          <w:tcPr>
            <w:tcW w:w="12950" w:type="dxa"/>
            <w:gridSpan w:val="4"/>
            <w:shd w:val="clear" w:color="auto" w:fill="F79646" w:themeFill="accent6"/>
          </w:tcPr>
          <w:p w14:paraId="3BD3EDE8" w14:textId="77777777" w:rsidR="00626D4D" w:rsidRPr="009A0CEC" w:rsidRDefault="009A0CEC" w:rsidP="00626D4D">
            <w:pPr>
              <w:jc w:val="center"/>
              <w:rPr>
                <w:rFonts w:ascii="Arial" w:hAnsi="Arial" w:cs="Arial"/>
                <w:b/>
              </w:rPr>
            </w:pPr>
            <w:r w:rsidRPr="009A0CEC">
              <w:rPr>
                <w:rFonts w:ascii="Arial" w:hAnsi="Arial" w:cs="Arial"/>
                <w:b/>
              </w:rPr>
              <w:t>Track 3: Training Delivery, Instructional Design, Learning Technologies, Evaluating Learning Impact</w:t>
            </w:r>
          </w:p>
        </w:tc>
      </w:tr>
      <w:tr w:rsidR="00626D4D" w:rsidRPr="00A73F5B" w14:paraId="43FCAD53" w14:textId="77777777" w:rsidTr="005A485A">
        <w:tc>
          <w:tcPr>
            <w:tcW w:w="1081" w:type="dxa"/>
          </w:tcPr>
          <w:p w14:paraId="4BEB7791" w14:textId="77777777" w:rsidR="00626D4D" w:rsidRPr="00A73F5B" w:rsidRDefault="00626D4D" w:rsidP="0063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58" w:type="dxa"/>
          </w:tcPr>
          <w:p w14:paraId="69DBB59A" w14:textId="77777777" w:rsidR="00DF70A8" w:rsidRPr="00DF70A8" w:rsidRDefault="00DF70A8" w:rsidP="00DF70A8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F70A8">
              <w:rPr>
                <w:rFonts w:ascii="Arial" w:hAnsi="Arial" w:cs="Arial"/>
                <w:sz w:val="22"/>
                <w:szCs w:val="22"/>
              </w:rPr>
              <w:t>First do no Harm: Human-Friendly DEI Initiatives</w:t>
            </w:r>
          </w:p>
          <w:p w14:paraId="2356D908" w14:textId="5297A215" w:rsidR="00626D4D" w:rsidRPr="00DF70A8" w:rsidRDefault="00626D4D" w:rsidP="006378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8" w:type="dxa"/>
          </w:tcPr>
          <w:p w14:paraId="25E22A2A" w14:textId="77777777" w:rsidR="00420689" w:rsidRDefault="00DF70A8" w:rsidP="00C233CB">
            <w:pPr>
              <w:rPr>
                <w:rFonts w:ascii="Arial" w:hAnsi="Arial" w:cs="Arial"/>
                <w:sz w:val="22"/>
                <w:szCs w:val="22"/>
              </w:rPr>
            </w:pPr>
            <w:r w:rsidRPr="00DF70A8">
              <w:rPr>
                <w:rFonts w:ascii="Arial" w:hAnsi="Arial" w:cs="Arial"/>
                <w:sz w:val="22"/>
                <w:szCs w:val="22"/>
              </w:rPr>
              <w:t>Cris Wildermuth</w:t>
            </w:r>
          </w:p>
          <w:p w14:paraId="489C77A1" w14:textId="2374DE28" w:rsidR="00FF774D" w:rsidRPr="00DF70A8" w:rsidRDefault="00FF774D" w:rsidP="00C233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Drake University </w:t>
            </w:r>
          </w:p>
        </w:tc>
        <w:tc>
          <w:tcPr>
            <w:tcW w:w="5573" w:type="dxa"/>
          </w:tcPr>
          <w:p w14:paraId="35A632EE" w14:textId="77777777" w:rsidR="00626D4D" w:rsidRPr="00DF70A8" w:rsidRDefault="00626D4D" w:rsidP="006378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D4D" w:rsidRPr="00A73F5B" w14:paraId="4711DBC2" w14:textId="77777777" w:rsidTr="005A485A">
        <w:tc>
          <w:tcPr>
            <w:tcW w:w="1081" w:type="dxa"/>
          </w:tcPr>
          <w:p w14:paraId="4F923353" w14:textId="77777777" w:rsidR="00626D4D" w:rsidRPr="00A73F5B" w:rsidRDefault="00626D4D" w:rsidP="0063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58" w:type="dxa"/>
          </w:tcPr>
          <w:p w14:paraId="30139599" w14:textId="77777777" w:rsidR="00DF70A8" w:rsidRPr="00DF70A8" w:rsidRDefault="00DF70A8" w:rsidP="00DF70A8">
            <w:pPr>
              <w:rPr>
                <w:rFonts w:ascii="Arial" w:hAnsi="Arial" w:cs="Arial"/>
                <w:sz w:val="22"/>
                <w:szCs w:val="22"/>
              </w:rPr>
            </w:pPr>
            <w:r w:rsidRPr="00DF70A8">
              <w:rPr>
                <w:rFonts w:ascii="Arial" w:hAnsi="Arial" w:cs="Arial"/>
                <w:sz w:val="22"/>
                <w:szCs w:val="22"/>
              </w:rPr>
              <w:t>Why Learn When I Can Google It?</w:t>
            </w:r>
          </w:p>
          <w:p w14:paraId="36C7DFC1" w14:textId="6A96A3B7" w:rsidR="00626D4D" w:rsidRPr="00DF70A8" w:rsidRDefault="00626D4D" w:rsidP="006378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8" w:type="dxa"/>
          </w:tcPr>
          <w:p w14:paraId="6B25B03D" w14:textId="77777777" w:rsidR="00420689" w:rsidRDefault="00DF70A8" w:rsidP="00C233CB">
            <w:pPr>
              <w:rPr>
                <w:rFonts w:ascii="Arial" w:hAnsi="Arial" w:cs="Arial"/>
                <w:sz w:val="22"/>
                <w:szCs w:val="22"/>
              </w:rPr>
            </w:pPr>
            <w:r w:rsidRPr="00DF70A8">
              <w:rPr>
                <w:rFonts w:ascii="Arial" w:hAnsi="Arial" w:cs="Arial"/>
                <w:sz w:val="22"/>
                <w:szCs w:val="22"/>
              </w:rPr>
              <w:lastRenderedPageBreak/>
              <w:t>Molly Mackey</w:t>
            </w:r>
          </w:p>
          <w:p w14:paraId="1DB4A6C4" w14:textId="1FE717BD" w:rsidR="00FF774D" w:rsidRPr="00FF774D" w:rsidRDefault="00FF774D" w:rsidP="00C233C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F774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Optimae</w:t>
            </w:r>
            <w:proofErr w:type="spellEnd"/>
            <w:r w:rsidRPr="00FF774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774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LifeServices</w:t>
            </w:r>
            <w:proofErr w:type="spellEnd"/>
          </w:p>
        </w:tc>
        <w:tc>
          <w:tcPr>
            <w:tcW w:w="5573" w:type="dxa"/>
          </w:tcPr>
          <w:p w14:paraId="366E7882" w14:textId="77777777" w:rsidR="00626D4D" w:rsidRPr="00DF70A8" w:rsidRDefault="00626D4D" w:rsidP="006378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D4D" w:rsidRPr="00A73F5B" w14:paraId="534C9B3A" w14:textId="77777777" w:rsidTr="005A485A">
        <w:tc>
          <w:tcPr>
            <w:tcW w:w="1081" w:type="dxa"/>
          </w:tcPr>
          <w:p w14:paraId="132874BA" w14:textId="77777777" w:rsidR="00626D4D" w:rsidRPr="00A73F5B" w:rsidRDefault="00626D4D" w:rsidP="0063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58" w:type="dxa"/>
          </w:tcPr>
          <w:p w14:paraId="29FA137F" w14:textId="77777777" w:rsidR="00DF70A8" w:rsidRPr="00DF70A8" w:rsidRDefault="00DF70A8" w:rsidP="00DF70A8">
            <w:pPr>
              <w:rPr>
                <w:rFonts w:ascii="Arial" w:hAnsi="Arial" w:cs="Arial"/>
                <w:sz w:val="22"/>
                <w:szCs w:val="22"/>
              </w:rPr>
            </w:pPr>
            <w:r w:rsidRPr="00DF70A8">
              <w:rPr>
                <w:rFonts w:ascii="Arial" w:hAnsi="Arial" w:cs="Arial"/>
                <w:sz w:val="22"/>
                <w:szCs w:val="22"/>
              </w:rPr>
              <w:t>Immersive Reality Check: Learning Development for Augmented and Virtual Reality</w:t>
            </w:r>
          </w:p>
          <w:p w14:paraId="1212AF7B" w14:textId="68308F65" w:rsidR="00626D4D" w:rsidRPr="00DF70A8" w:rsidRDefault="00626D4D" w:rsidP="006378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8" w:type="dxa"/>
          </w:tcPr>
          <w:p w14:paraId="1C8CE39B" w14:textId="77777777" w:rsidR="00DF70A8" w:rsidRPr="00DF70A8" w:rsidRDefault="00DF70A8" w:rsidP="00DF70A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70A8">
              <w:rPr>
                <w:rFonts w:ascii="Arial" w:hAnsi="Arial" w:cs="Arial"/>
                <w:sz w:val="22"/>
                <w:szCs w:val="22"/>
              </w:rPr>
              <w:t>Destery</w:t>
            </w:r>
            <w:proofErr w:type="spellEnd"/>
            <w:r w:rsidRPr="00DF70A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F70A8">
              <w:rPr>
                <w:rFonts w:ascii="Arial" w:hAnsi="Arial" w:cs="Arial"/>
                <w:sz w:val="22"/>
                <w:szCs w:val="22"/>
              </w:rPr>
              <w:t>Hildenbrand</w:t>
            </w:r>
            <w:proofErr w:type="spellEnd"/>
          </w:p>
          <w:p w14:paraId="23D65A57" w14:textId="7D6AB1F1" w:rsidR="00420689" w:rsidRPr="00DF70A8" w:rsidRDefault="00FF774D" w:rsidP="00DF70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Motive.io</w:t>
            </w:r>
          </w:p>
        </w:tc>
        <w:tc>
          <w:tcPr>
            <w:tcW w:w="5573" w:type="dxa"/>
          </w:tcPr>
          <w:p w14:paraId="71548A5A" w14:textId="77777777" w:rsidR="00626D4D" w:rsidRPr="00DF70A8" w:rsidRDefault="00626D4D" w:rsidP="006378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D4D" w:rsidRPr="00A73F5B" w14:paraId="66BB2AF3" w14:textId="77777777" w:rsidTr="005A485A">
        <w:tc>
          <w:tcPr>
            <w:tcW w:w="1081" w:type="dxa"/>
          </w:tcPr>
          <w:p w14:paraId="3CEBD5B7" w14:textId="77777777" w:rsidR="00626D4D" w:rsidRPr="00A73F5B" w:rsidRDefault="00626D4D" w:rsidP="0063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58" w:type="dxa"/>
          </w:tcPr>
          <w:p w14:paraId="41640C5A" w14:textId="77777777" w:rsidR="00DF70A8" w:rsidRPr="00DF70A8" w:rsidRDefault="00DF70A8" w:rsidP="00DF70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70A8">
              <w:rPr>
                <w:rFonts w:ascii="Arial" w:hAnsi="Arial" w:cs="Arial"/>
                <w:sz w:val="22"/>
                <w:szCs w:val="22"/>
              </w:rPr>
              <w:t>Pivot with Improv</w:t>
            </w:r>
          </w:p>
          <w:p w14:paraId="3E72988F" w14:textId="6577D645" w:rsidR="00626D4D" w:rsidRPr="00DF70A8" w:rsidRDefault="00626D4D" w:rsidP="006378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8" w:type="dxa"/>
          </w:tcPr>
          <w:p w14:paraId="38FF3805" w14:textId="6C84A74A" w:rsidR="00DF70A8" w:rsidRDefault="00DF70A8" w:rsidP="00DF70A8">
            <w:pPr>
              <w:rPr>
                <w:rFonts w:ascii="Arial" w:hAnsi="Arial" w:cs="Arial"/>
                <w:sz w:val="22"/>
                <w:szCs w:val="22"/>
              </w:rPr>
            </w:pPr>
            <w:r w:rsidRPr="00DF70A8">
              <w:rPr>
                <w:rFonts w:ascii="Arial" w:hAnsi="Arial" w:cs="Arial"/>
                <w:sz w:val="22"/>
                <w:szCs w:val="22"/>
              </w:rPr>
              <w:t xml:space="preserve">Joe Van </w:t>
            </w:r>
            <w:proofErr w:type="spellStart"/>
            <w:r w:rsidRPr="00DF70A8">
              <w:rPr>
                <w:rFonts w:ascii="Arial" w:hAnsi="Arial" w:cs="Arial"/>
                <w:sz w:val="22"/>
                <w:szCs w:val="22"/>
              </w:rPr>
              <w:t>Haecke</w:t>
            </w:r>
            <w:proofErr w:type="spellEnd"/>
          </w:p>
          <w:p w14:paraId="3812AC35" w14:textId="3F653D81" w:rsidR="00FF774D" w:rsidRPr="00FF774D" w:rsidRDefault="00FF774D" w:rsidP="00DF70A8">
            <w:pPr>
              <w:rPr>
                <w:rFonts w:ascii="Arial" w:hAnsi="Arial" w:cs="Arial"/>
                <w:sz w:val="22"/>
                <w:szCs w:val="22"/>
              </w:rPr>
            </w:pPr>
            <w:r w:rsidRPr="00FF774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Inspire Me </w:t>
            </w:r>
            <w:proofErr w:type="spellStart"/>
            <w:r w:rsidRPr="00FF774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Mr</w:t>
            </w:r>
            <w:proofErr w:type="spellEnd"/>
            <w:r w:rsidRPr="00FF774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V</w:t>
            </w:r>
          </w:p>
          <w:p w14:paraId="175FF9CC" w14:textId="75F4521E" w:rsidR="00420689" w:rsidRPr="00DF70A8" w:rsidRDefault="00420689" w:rsidP="00C233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3" w:type="dxa"/>
          </w:tcPr>
          <w:p w14:paraId="57FED841" w14:textId="77777777" w:rsidR="00626D4D" w:rsidRPr="00DF70A8" w:rsidRDefault="00626D4D" w:rsidP="006378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D4D" w:rsidRPr="00A73F5B" w14:paraId="08EFAD27" w14:textId="77777777" w:rsidTr="005A485A">
        <w:tc>
          <w:tcPr>
            <w:tcW w:w="1081" w:type="dxa"/>
          </w:tcPr>
          <w:p w14:paraId="356B975A" w14:textId="77777777" w:rsidR="00626D4D" w:rsidRPr="00A73F5B" w:rsidRDefault="00626D4D" w:rsidP="0063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58" w:type="dxa"/>
          </w:tcPr>
          <w:p w14:paraId="7B9A20D2" w14:textId="4CDE0F6B" w:rsidR="00626D4D" w:rsidRPr="00DF70A8" w:rsidRDefault="00DF70A8" w:rsidP="006378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70A8">
              <w:rPr>
                <w:rFonts w:ascii="Arial" w:hAnsi="Arial" w:cs="Arial"/>
                <w:sz w:val="22"/>
                <w:szCs w:val="22"/>
              </w:rPr>
              <w:t>Meeting Trainees Anywhere? Training in Virtual Worlds</w:t>
            </w:r>
          </w:p>
        </w:tc>
        <w:tc>
          <w:tcPr>
            <w:tcW w:w="2638" w:type="dxa"/>
          </w:tcPr>
          <w:p w14:paraId="4B5858E6" w14:textId="24E5C0C7" w:rsidR="00420689" w:rsidRPr="00DF70A8" w:rsidRDefault="00DF70A8" w:rsidP="00C233CB">
            <w:pPr>
              <w:rPr>
                <w:rFonts w:ascii="Arial" w:hAnsi="Arial" w:cs="Arial"/>
                <w:sz w:val="22"/>
                <w:szCs w:val="22"/>
              </w:rPr>
            </w:pPr>
            <w:r w:rsidRPr="00DF70A8">
              <w:rPr>
                <w:rFonts w:ascii="Arial" w:hAnsi="Arial" w:cs="Arial"/>
                <w:sz w:val="22"/>
                <w:szCs w:val="22"/>
              </w:rPr>
              <w:t>Cris Wildermuth</w:t>
            </w:r>
            <w:r w:rsidR="00FF774D">
              <w:rPr>
                <w:rFonts w:ascii="Arial" w:hAnsi="Arial" w:cs="Arial"/>
                <w:sz w:val="22"/>
                <w:szCs w:val="22"/>
              </w:rPr>
              <w:br/>
              <w:t>Drake University</w:t>
            </w:r>
          </w:p>
        </w:tc>
        <w:tc>
          <w:tcPr>
            <w:tcW w:w="5573" w:type="dxa"/>
          </w:tcPr>
          <w:p w14:paraId="17573DEF" w14:textId="77777777" w:rsidR="00626D4D" w:rsidRPr="00DF70A8" w:rsidRDefault="00626D4D" w:rsidP="006378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6D4D" w:rsidRPr="00A73F5B" w14:paraId="71713128" w14:textId="77777777" w:rsidTr="00456FE8">
        <w:tc>
          <w:tcPr>
            <w:tcW w:w="12950" w:type="dxa"/>
            <w:gridSpan w:val="4"/>
            <w:shd w:val="clear" w:color="auto" w:fill="F79646" w:themeFill="accent6"/>
          </w:tcPr>
          <w:p w14:paraId="7815A53E" w14:textId="69686991" w:rsidR="00626D4D" w:rsidRPr="00DF70A8" w:rsidRDefault="00DF70A8" w:rsidP="00DF70A8">
            <w:pPr>
              <w:jc w:val="center"/>
              <w:rPr>
                <w:rFonts w:ascii="Arial" w:hAnsi="Arial" w:cs="Arial"/>
                <w:b/>
                <w:bCs/>
              </w:rPr>
            </w:pPr>
            <w:r w:rsidRPr="00DF70A8">
              <w:rPr>
                <w:rFonts w:ascii="Arial" w:hAnsi="Arial" w:cs="Arial"/>
                <w:b/>
                <w:bCs/>
              </w:rPr>
              <w:t>Panel</w:t>
            </w:r>
          </w:p>
        </w:tc>
      </w:tr>
      <w:tr w:rsidR="00626D4D" w:rsidRPr="00A73F5B" w14:paraId="29976F99" w14:textId="77777777" w:rsidTr="005A485A">
        <w:tc>
          <w:tcPr>
            <w:tcW w:w="1081" w:type="dxa"/>
          </w:tcPr>
          <w:p w14:paraId="1E77D2A1" w14:textId="77777777" w:rsidR="00626D4D" w:rsidRPr="00A73F5B" w:rsidRDefault="00626D4D" w:rsidP="0063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58" w:type="dxa"/>
          </w:tcPr>
          <w:p w14:paraId="75D83125" w14:textId="73F9C74D" w:rsidR="00626D4D" w:rsidRPr="00626D4D" w:rsidRDefault="00DF70A8" w:rsidP="006378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DEI Panel</w:t>
            </w:r>
          </w:p>
        </w:tc>
        <w:tc>
          <w:tcPr>
            <w:tcW w:w="2638" w:type="dxa"/>
          </w:tcPr>
          <w:p w14:paraId="67D499F0" w14:textId="77777777" w:rsidR="00DF70A8" w:rsidRPr="00DF70A8" w:rsidRDefault="00DF70A8" w:rsidP="00DF70A8">
            <w:pPr>
              <w:rPr>
                <w:rFonts w:ascii="Arial" w:hAnsi="Arial" w:cs="Arial"/>
                <w:sz w:val="22"/>
                <w:szCs w:val="22"/>
              </w:rPr>
            </w:pPr>
            <w:r w:rsidRPr="00DF70A8">
              <w:rPr>
                <w:rFonts w:ascii="Arial" w:hAnsi="Arial" w:cs="Arial"/>
                <w:sz w:val="22"/>
                <w:szCs w:val="22"/>
              </w:rPr>
              <w:t>Justyn Lewis,</w:t>
            </w:r>
          </w:p>
          <w:p w14:paraId="62228738" w14:textId="77777777" w:rsidR="00DF70A8" w:rsidRPr="00DF70A8" w:rsidRDefault="00DF70A8" w:rsidP="00DF70A8">
            <w:pPr>
              <w:rPr>
                <w:rFonts w:ascii="Arial" w:hAnsi="Arial" w:cs="Arial"/>
                <w:sz w:val="22"/>
                <w:szCs w:val="22"/>
              </w:rPr>
            </w:pPr>
            <w:r w:rsidRPr="00DF70A8">
              <w:rPr>
                <w:rFonts w:ascii="Arial" w:hAnsi="Arial" w:cs="Arial"/>
                <w:sz w:val="22"/>
                <w:szCs w:val="22"/>
              </w:rPr>
              <w:t xml:space="preserve">Bettina </w:t>
            </w:r>
            <w:proofErr w:type="spellStart"/>
            <w:r w:rsidRPr="00DF70A8">
              <w:rPr>
                <w:rFonts w:ascii="Arial" w:hAnsi="Arial" w:cs="Arial"/>
                <w:sz w:val="22"/>
                <w:szCs w:val="22"/>
              </w:rPr>
              <w:t>Dolinsek</w:t>
            </w:r>
            <w:proofErr w:type="spellEnd"/>
            <w:r w:rsidRPr="00DF70A8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61AA52EC" w14:textId="77777777" w:rsidR="00DF70A8" w:rsidRPr="00DF70A8" w:rsidRDefault="00DF70A8" w:rsidP="00DF70A8">
            <w:pPr>
              <w:rPr>
                <w:rFonts w:ascii="Arial" w:hAnsi="Arial" w:cs="Arial"/>
                <w:sz w:val="22"/>
                <w:szCs w:val="22"/>
              </w:rPr>
            </w:pPr>
            <w:r w:rsidRPr="00DF70A8">
              <w:rPr>
                <w:rFonts w:ascii="Arial" w:hAnsi="Arial" w:cs="Arial"/>
                <w:sz w:val="22"/>
                <w:szCs w:val="22"/>
              </w:rPr>
              <w:t xml:space="preserve">Ryan </w:t>
            </w:r>
            <w:proofErr w:type="spellStart"/>
            <w:r w:rsidRPr="00DF70A8">
              <w:rPr>
                <w:rFonts w:ascii="Arial" w:hAnsi="Arial" w:cs="Arial"/>
                <w:sz w:val="22"/>
                <w:szCs w:val="22"/>
              </w:rPr>
              <w:t>Siskow</w:t>
            </w:r>
            <w:proofErr w:type="spellEnd"/>
          </w:p>
          <w:p w14:paraId="5F5652F7" w14:textId="5E3C10EF" w:rsidR="00626D4D" w:rsidRPr="00626D4D" w:rsidRDefault="00DF70A8" w:rsidP="00DF70A8">
            <w:pPr>
              <w:rPr>
                <w:rFonts w:ascii="Arial" w:hAnsi="Arial" w:cs="Arial"/>
                <w:sz w:val="22"/>
                <w:szCs w:val="22"/>
              </w:rPr>
            </w:pPr>
            <w:r w:rsidRPr="00DF70A8">
              <w:rPr>
                <w:rFonts w:ascii="Arial" w:hAnsi="Arial" w:cs="Arial"/>
                <w:sz w:val="22"/>
                <w:szCs w:val="22"/>
              </w:rPr>
              <w:t>Ramona Wink</w:t>
            </w:r>
          </w:p>
        </w:tc>
        <w:tc>
          <w:tcPr>
            <w:tcW w:w="5573" w:type="dxa"/>
          </w:tcPr>
          <w:p w14:paraId="0DB9BD14" w14:textId="77777777" w:rsidR="00626D4D" w:rsidRPr="00A73F5B" w:rsidRDefault="00626D4D" w:rsidP="006378B7">
            <w:pPr>
              <w:jc w:val="both"/>
              <w:rPr>
                <w:rFonts w:ascii="Arial" w:hAnsi="Arial" w:cs="Arial"/>
              </w:rPr>
            </w:pPr>
          </w:p>
        </w:tc>
      </w:tr>
    </w:tbl>
    <w:p w14:paraId="6AB96614" w14:textId="0185C4C1" w:rsidR="00D52E58" w:rsidRDefault="00D52E58" w:rsidP="00725E6C">
      <w:pPr>
        <w:tabs>
          <w:tab w:val="left" w:pos="4320"/>
        </w:tabs>
      </w:pPr>
    </w:p>
    <w:p w14:paraId="03D9CC8D" w14:textId="77777777" w:rsidR="00DF70A8" w:rsidRPr="00D52E58" w:rsidRDefault="00DF70A8" w:rsidP="00725E6C">
      <w:pPr>
        <w:tabs>
          <w:tab w:val="left" w:pos="4320"/>
        </w:tabs>
      </w:pPr>
    </w:p>
    <w:sectPr w:rsidR="00DF70A8" w:rsidRPr="00D52E58" w:rsidSect="00254629">
      <w:pgSz w:w="15840" w:h="12240" w:orient="landscape"/>
      <w:pgMar w:top="900" w:right="1440" w:bottom="1152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20C50" w14:textId="77777777" w:rsidR="0012690E" w:rsidRDefault="0012690E" w:rsidP="00134C68">
      <w:pPr>
        <w:spacing w:after="0"/>
      </w:pPr>
      <w:r>
        <w:separator/>
      </w:r>
    </w:p>
  </w:endnote>
  <w:endnote w:type="continuationSeparator" w:id="0">
    <w:p w14:paraId="3E4AB03D" w14:textId="77777777" w:rsidR="0012690E" w:rsidRDefault="0012690E" w:rsidP="00134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9E44F" w14:textId="77777777" w:rsidR="0012690E" w:rsidRDefault="0012690E" w:rsidP="00134C68">
      <w:pPr>
        <w:spacing w:after="0"/>
      </w:pPr>
      <w:r>
        <w:separator/>
      </w:r>
    </w:p>
  </w:footnote>
  <w:footnote w:type="continuationSeparator" w:id="0">
    <w:p w14:paraId="4E76E714" w14:textId="77777777" w:rsidR="0012690E" w:rsidRDefault="0012690E" w:rsidP="00134C6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8DFC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5FA9F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83A16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790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5AE8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8573A0"/>
    <w:multiLevelType w:val="multilevel"/>
    <w:tmpl w:val="12EEAB36"/>
    <w:lvl w:ilvl="0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  <w:color w:val="4071AA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6511D"/>
    <w:multiLevelType w:val="hybridMultilevel"/>
    <w:tmpl w:val="2774DF7C"/>
    <w:lvl w:ilvl="0" w:tplc="E2D8175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ysDA1MLCwMDc1trBQ0lEKTi0uzszPAykwrAUAkEAQvywAAAA="/>
  </w:docVars>
  <w:rsids>
    <w:rsidRoot w:val="00D52E58"/>
    <w:rsid w:val="00000954"/>
    <w:rsid w:val="000400AD"/>
    <w:rsid w:val="0005776D"/>
    <w:rsid w:val="00076095"/>
    <w:rsid w:val="00076599"/>
    <w:rsid w:val="000D737C"/>
    <w:rsid w:val="0012690E"/>
    <w:rsid w:val="00134C68"/>
    <w:rsid w:val="001366BD"/>
    <w:rsid w:val="001C6A7C"/>
    <w:rsid w:val="001D779D"/>
    <w:rsid w:val="001F4857"/>
    <w:rsid w:val="002052A5"/>
    <w:rsid w:val="0023079F"/>
    <w:rsid w:val="00254629"/>
    <w:rsid w:val="002835E6"/>
    <w:rsid w:val="002A1EF8"/>
    <w:rsid w:val="00342B79"/>
    <w:rsid w:val="003B030A"/>
    <w:rsid w:val="003E0DC7"/>
    <w:rsid w:val="003E0F37"/>
    <w:rsid w:val="003E6A00"/>
    <w:rsid w:val="00420689"/>
    <w:rsid w:val="00476D43"/>
    <w:rsid w:val="004A6A02"/>
    <w:rsid w:val="004C0ED3"/>
    <w:rsid w:val="00582D35"/>
    <w:rsid w:val="005A1632"/>
    <w:rsid w:val="005A485A"/>
    <w:rsid w:val="00626D4D"/>
    <w:rsid w:val="006426D6"/>
    <w:rsid w:val="00661FCB"/>
    <w:rsid w:val="0069420B"/>
    <w:rsid w:val="006A65BC"/>
    <w:rsid w:val="006B1865"/>
    <w:rsid w:val="006E134A"/>
    <w:rsid w:val="006F299A"/>
    <w:rsid w:val="00725E6C"/>
    <w:rsid w:val="00727040"/>
    <w:rsid w:val="007416BB"/>
    <w:rsid w:val="007A0D42"/>
    <w:rsid w:val="007D4786"/>
    <w:rsid w:val="007E50E9"/>
    <w:rsid w:val="0082591C"/>
    <w:rsid w:val="00840463"/>
    <w:rsid w:val="0084102E"/>
    <w:rsid w:val="00871F18"/>
    <w:rsid w:val="00885E0D"/>
    <w:rsid w:val="008A6D00"/>
    <w:rsid w:val="008C0DAA"/>
    <w:rsid w:val="00946F84"/>
    <w:rsid w:val="00960968"/>
    <w:rsid w:val="00962A58"/>
    <w:rsid w:val="009A0CEC"/>
    <w:rsid w:val="009E6122"/>
    <w:rsid w:val="009F1A90"/>
    <w:rsid w:val="00A40CFC"/>
    <w:rsid w:val="00A73F5B"/>
    <w:rsid w:val="00AB605E"/>
    <w:rsid w:val="00B331DF"/>
    <w:rsid w:val="00B77EEC"/>
    <w:rsid w:val="00B95261"/>
    <w:rsid w:val="00BB3E0A"/>
    <w:rsid w:val="00C233CB"/>
    <w:rsid w:val="00C35A80"/>
    <w:rsid w:val="00CB087A"/>
    <w:rsid w:val="00CB0C0B"/>
    <w:rsid w:val="00CC323D"/>
    <w:rsid w:val="00CE7B21"/>
    <w:rsid w:val="00D52E58"/>
    <w:rsid w:val="00D616A1"/>
    <w:rsid w:val="00D829D2"/>
    <w:rsid w:val="00DA2338"/>
    <w:rsid w:val="00DC4B1E"/>
    <w:rsid w:val="00DD72EE"/>
    <w:rsid w:val="00DE4281"/>
    <w:rsid w:val="00DF70A8"/>
    <w:rsid w:val="00E12700"/>
    <w:rsid w:val="00E72907"/>
    <w:rsid w:val="00E854A3"/>
    <w:rsid w:val="00E93EBD"/>
    <w:rsid w:val="00E94DDF"/>
    <w:rsid w:val="00F722D8"/>
    <w:rsid w:val="00F979A2"/>
    <w:rsid w:val="00FF77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BDE9D8C"/>
  <w15:docId w15:val="{92972A4E-D6C8-4B9C-AB9D-97F854C3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F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2E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2E58"/>
    <w:rPr>
      <w:sz w:val="24"/>
      <w:szCs w:val="24"/>
    </w:rPr>
  </w:style>
  <w:style w:type="table" w:styleId="TableGrid">
    <w:name w:val="Table Grid"/>
    <w:basedOn w:val="TableNormal"/>
    <w:uiPriority w:val="59"/>
    <w:rsid w:val="00D52E5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6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A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0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979A2"/>
    <w:pPr>
      <w:numPr>
        <w:numId w:val="6"/>
      </w:numPr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25E6C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Greenleaf Agency, LLC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Greenleaf</dc:creator>
  <cp:lastModifiedBy>Ngozi Igbokwe</cp:lastModifiedBy>
  <cp:revision>2</cp:revision>
  <dcterms:created xsi:type="dcterms:W3CDTF">2021-07-19T23:28:00Z</dcterms:created>
  <dcterms:modified xsi:type="dcterms:W3CDTF">2021-07-19T23:28:00Z</dcterms:modified>
</cp:coreProperties>
</file>